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"/>
        <w:gridCol w:w="5226"/>
        <w:gridCol w:w="5346"/>
        <w:gridCol w:w="222"/>
      </w:tblGrid>
      <w:tr w:rsidR="001558C3" w:rsidTr="00D60C31">
        <w:trPr>
          <w:trHeight w:val="209"/>
          <w:jc w:val="center"/>
        </w:trPr>
        <w:tc>
          <w:tcPr>
            <w:tcW w:w="0" w:type="auto"/>
            <w:vMerge w:val="restart"/>
            <w:shd w:val="clear" w:color="auto" w:fill="00529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8C3" w:rsidRDefault="001558C3"/>
        </w:tc>
        <w:tc>
          <w:tcPr>
            <w:tcW w:w="0" w:type="auto"/>
            <w:gridSpan w:val="3"/>
            <w:shd w:val="clear" w:color="auto" w:fill="00529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8C3" w:rsidRDefault="001558C3"/>
        </w:tc>
      </w:tr>
      <w:tr w:rsidR="00266E95" w:rsidTr="00D60C31">
        <w:trPr>
          <w:trHeight w:val="112"/>
          <w:jc w:val="center"/>
        </w:trPr>
        <w:tc>
          <w:tcPr>
            <w:tcW w:w="0" w:type="auto"/>
            <w:vMerge/>
            <w:vAlign w:val="center"/>
            <w:hideMark/>
          </w:tcPr>
          <w:p w:rsidR="001558C3" w:rsidRDefault="001558C3"/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8C3" w:rsidRDefault="008025ED" w:rsidP="0023538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CC5E4A3" wp14:editId="1EE10002">
                  <wp:extent cx="6286500" cy="1943100"/>
                  <wp:effectExtent l="0" t="0" r="0" b="0"/>
                  <wp:docPr id="8" name="Picture 8" descr="G:\Pictures\PICTURES OF CITY OF ENID\GOVERNMENT SPRINGS PARK BRID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:\Pictures\PICTURES OF CITY OF ENID\GOVERNMENT SPRINGS PARK BRID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0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shd w:val="clear" w:color="auto" w:fill="00529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8C3" w:rsidRDefault="001558C3"/>
        </w:tc>
      </w:tr>
      <w:tr w:rsidR="00266E95" w:rsidTr="00D60C31">
        <w:trPr>
          <w:trHeight w:val="430"/>
          <w:jc w:val="center"/>
        </w:trPr>
        <w:tc>
          <w:tcPr>
            <w:tcW w:w="0" w:type="auto"/>
            <w:vMerge/>
            <w:vAlign w:val="center"/>
            <w:hideMark/>
          </w:tcPr>
          <w:p w:rsidR="001558C3" w:rsidRDefault="001558C3"/>
        </w:tc>
        <w:tc>
          <w:tcPr>
            <w:tcW w:w="0" w:type="auto"/>
            <w:gridSpan w:val="2"/>
            <w:shd w:val="clear" w:color="auto" w:fill="6CAD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B1B" w:rsidRDefault="00370174">
            <w:pPr>
              <w:jc w:val="center"/>
              <w:rPr>
                <w:b/>
                <w:bCs/>
                <w:color w:val="FFFFFF"/>
                <w:sz w:val="44"/>
                <w:szCs w:val="44"/>
              </w:rPr>
            </w:pPr>
            <w:r>
              <w:rPr>
                <w:b/>
                <w:bCs/>
                <w:color w:val="FFFFFF"/>
                <w:sz w:val="44"/>
                <w:szCs w:val="44"/>
              </w:rPr>
              <w:t>Parks and Recreation Supervisor</w:t>
            </w:r>
          </w:p>
          <w:p w:rsidR="001558C3" w:rsidRDefault="00370174" w:rsidP="00B73DCF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color w:val="FFFFFF"/>
                <w:sz w:val="44"/>
                <w:szCs w:val="44"/>
              </w:rPr>
              <w:t>Open until Filled</w:t>
            </w:r>
          </w:p>
        </w:tc>
        <w:tc>
          <w:tcPr>
            <w:tcW w:w="0" w:type="auto"/>
            <w:vMerge/>
            <w:vAlign w:val="center"/>
            <w:hideMark/>
          </w:tcPr>
          <w:p w:rsidR="001558C3" w:rsidRDefault="001558C3"/>
        </w:tc>
      </w:tr>
      <w:tr w:rsidR="008025ED" w:rsidTr="00D60C31">
        <w:trPr>
          <w:trHeight w:val="2872"/>
          <w:jc w:val="center"/>
        </w:trPr>
        <w:tc>
          <w:tcPr>
            <w:tcW w:w="0" w:type="auto"/>
            <w:vMerge/>
            <w:vAlign w:val="center"/>
            <w:hideMark/>
          </w:tcPr>
          <w:p w:rsidR="001558C3" w:rsidRDefault="001558C3"/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8C3" w:rsidRDefault="001558C3"/>
          <w:p w:rsidR="001558C3" w:rsidRDefault="001558C3" w:rsidP="001558C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8CA0872" wp14:editId="39B2CE56">
                  <wp:extent cx="3181350" cy="2076450"/>
                  <wp:effectExtent l="0" t="0" r="0" b="0"/>
                  <wp:docPr id="3" name="Picture 3" descr="cid:image002.jpg@01D07DBD.D447CA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id:image002.jpg@01D07DBD.D447CA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0" cy="207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58C3" w:rsidRDefault="001558C3"/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8C3" w:rsidRDefault="001558C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BA299AD" wp14:editId="47EE52EB">
                  <wp:extent cx="2076450" cy="1952625"/>
                  <wp:effectExtent l="0" t="0" r="0" b="9525"/>
                  <wp:docPr id="2" name="Picture 2" descr="cid:image003.jpg@01D07DBD.D447CA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id:image003.jpg@01D07DBD.D447CA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195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58C3" w:rsidRDefault="001558C3">
            <w:pPr>
              <w:jc w:val="center"/>
            </w:pPr>
          </w:p>
        </w:tc>
        <w:tc>
          <w:tcPr>
            <w:tcW w:w="0" w:type="auto"/>
            <w:vMerge/>
            <w:vAlign w:val="center"/>
            <w:hideMark/>
          </w:tcPr>
          <w:p w:rsidR="001558C3" w:rsidRDefault="001558C3"/>
        </w:tc>
      </w:tr>
      <w:tr w:rsidR="008025ED" w:rsidTr="00D60C31">
        <w:trPr>
          <w:trHeight w:val="112"/>
          <w:jc w:val="center"/>
        </w:trPr>
        <w:tc>
          <w:tcPr>
            <w:tcW w:w="0" w:type="auto"/>
            <w:vMerge/>
            <w:vAlign w:val="center"/>
            <w:hideMark/>
          </w:tcPr>
          <w:p w:rsidR="001558C3" w:rsidRDefault="001558C3"/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8C3" w:rsidRDefault="00B83AC3" w:rsidP="00B83AC3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CEFEFBE" wp14:editId="3BCD14DB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34925</wp:posOffset>
                      </wp:positionV>
                      <wp:extent cx="3219450" cy="2905125"/>
                      <wp:effectExtent l="0" t="0" r="0" b="952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19450" cy="2905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83AC3" w:rsidRPr="00B83AC3" w:rsidRDefault="00B83AC3" w:rsidP="00B83AC3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B83AC3">
                                    <w:rPr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>Qualifications:</w:t>
                                  </w:r>
                                </w:p>
                                <w:p w:rsidR="00F2736E" w:rsidRDefault="00F2736E" w:rsidP="00B83AC3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Associate’s Degree or equivalent two year college or technical skill training.</w:t>
                                  </w:r>
                                </w:p>
                                <w:p w:rsidR="00851A99" w:rsidRPr="00B83AC3" w:rsidRDefault="00F2736E" w:rsidP="00B83AC3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Two years related experience or training</w:t>
                                  </w:r>
                                  <w:r w:rsidR="00235383">
                                    <w:rPr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  <w:p w:rsidR="00851A99" w:rsidRDefault="00F2736E" w:rsidP="00D25D4B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Department of Agriculture spraying license within one year</w:t>
                                  </w:r>
                                  <w:r w:rsidR="00235383">
                                    <w:rPr>
                                      <w:sz w:val="20"/>
                                      <w:szCs w:val="20"/>
                                    </w:rPr>
                                    <w:t>, preferred.</w:t>
                                  </w:r>
                                </w:p>
                                <w:p w:rsidR="00F2736E" w:rsidRDefault="00F2736E" w:rsidP="00D25D4B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Local Tree Trimming License</w:t>
                                  </w:r>
                                  <w:r w:rsidR="00235383">
                                    <w:rPr>
                                      <w:sz w:val="20"/>
                                      <w:szCs w:val="20"/>
                                    </w:rPr>
                                    <w:t xml:space="preserve"> or arborist skills or knowledge preferred.</w:t>
                                  </w:r>
                                </w:p>
                                <w:p w:rsidR="00F2736E" w:rsidRDefault="00F2736E" w:rsidP="00D25D4B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Valid Oklahoma Driver’s License</w:t>
                                  </w:r>
                                </w:p>
                                <w:p w:rsidR="00B83AC3" w:rsidRPr="00B83AC3" w:rsidRDefault="00B83AC3" w:rsidP="00B83AC3">
                                  <w:pPr>
                                    <w:pStyle w:val="ListParagrap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51A99" w:rsidRPr="00266E95" w:rsidRDefault="00851A99" w:rsidP="00B83AC3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266E95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Salary Range: $</w:t>
                                  </w:r>
                                  <w:r w:rsidR="00F2736E" w:rsidRPr="00266E95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48,654 - $69,576</w:t>
                                  </w:r>
                                </w:p>
                                <w:p w:rsidR="00AF3832" w:rsidRDefault="00AF3832" w:rsidP="00AF3832">
                                  <w:pPr>
                                    <w:jc w:val="center"/>
                                    <w:rPr>
                                      <w:rFonts w:asciiTheme="minorHAnsi" w:eastAsiaTheme="minorEastAsia" w:hAnsiTheme="minorHAnsi" w:cstheme="minorBidi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 w:rsidRPr="00AF3832">
                                    <w:rPr>
                                      <w:rFonts w:asciiTheme="minorHAnsi" w:eastAsiaTheme="minorEastAsia" w:hAnsiTheme="minorHAnsi" w:cstheme="minorBidi"/>
                                      <w:noProof/>
                                      <w:sz w:val="20"/>
                                      <w:szCs w:val="20"/>
                                    </w:rPr>
                                    <w:t xml:space="preserve">Complete position description and application </w:t>
                                  </w:r>
                                </w:p>
                                <w:p w:rsidR="00AF3832" w:rsidRDefault="00AF3832" w:rsidP="00AF3832">
                                  <w:pPr>
                                    <w:jc w:val="center"/>
                                    <w:rPr>
                                      <w:rFonts w:asciiTheme="minorHAnsi" w:eastAsiaTheme="minorEastAsia" w:hAnsiTheme="minorHAnsi" w:cstheme="minorBidi"/>
                                      <w:b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 w:rsidRPr="00AF3832">
                                    <w:rPr>
                                      <w:rFonts w:asciiTheme="minorHAnsi" w:eastAsiaTheme="minorEastAsia" w:hAnsiTheme="minorHAnsi" w:cstheme="minorBidi"/>
                                      <w:noProof/>
                                      <w:sz w:val="20"/>
                                      <w:szCs w:val="20"/>
                                    </w:rPr>
                                    <w:t xml:space="preserve">can be found at  </w:t>
                                  </w:r>
                                  <w:hyperlink r:id="rId14" w:history="1">
                                    <w:r w:rsidR="00D60C31" w:rsidRPr="008055D8">
                                      <w:rPr>
                                        <w:rStyle w:val="Hyperlink"/>
                                        <w:rFonts w:asciiTheme="minorHAnsi" w:eastAsiaTheme="minorEastAsia" w:hAnsiTheme="minorHAnsi" w:cstheme="minorBidi"/>
                                        <w:b/>
                                        <w:noProof/>
                                        <w:sz w:val="20"/>
                                        <w:szCs w:val="20"/>
                                      </w:rPr>
                                      <w:t>www.enid.org/employment</w:t>
                                    </w:r>
                                  </w:hyperlink>
                                  <w:r w:rsidRPr="00AF3832">
                                    <w:rPr>
                                      <w:rFonts w:asciiTheme="minorHAnsi" w:eastAsiaTheme="minorEastAsia" w:hAnsiTheme="minorHAnsi" w:cstheme="minorBidi"/>
                                      <w:b/>
                                      <w:noProof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  <w:p w:rsidR="00D60C31" w:rsidRDefault="00D60C31" w:rsidP="00AF3832">
                                  <w:pPr>
                                    <w:jc w:val="center"/>
                                    <w:rPr>
                                      <w:rFonts w:asciiTheme="minorHAnsi" w:eastAsiaTheme="minorEastAsia" w:hAnsiTheme="minorHAnsi" w:cstheme="minorBidi"/>
                                      <w:b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60C31" w:rsidRPr="00AF3832" w:rsidRDefault="00D60C31" w:rsidP="00AF3832">
                                  <w:pPr>
                                    <w:jc w:val="center"/>
                                    <w:rPr>
                                      <w:rFonts w:asciiTheme="minorHAnsi" w:eastAsiaTheme="minorEastAsia" w:hAnsiTheme="minorHAnsi" w:cstheme="minorBidi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51A99" w:rsidRPr="00D60C31" w:rsidRDefault="00D60C31" w:rsidP="00D60C31">
                                  <w:pPr>
                                    <w:jc w:val="center"/>
                                    <w:rPr>
                                      <w:i/>
                                    </w:rPr>
                                  </w:pPr>
                                  <w:r w:rsidRPr="00D60C31">
                                    <w:rPr>
                                      <w:i/>
                                    </w:rPr>
                                    <w:t>An Equal Opportunity Employer</w:t>
                                  </w:r>
                                </w:p>
                                <w:p w:rsidR="00756317" w:rsidRDefault="00D25D4B" w:rsidP="00D25D4B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3.15pt;margin-top:2.75pt;width:253.5pt;height:22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" fillcolor="white [3201]" stroked="f" strokeweight=".5pt">
                      <v:textbox>
                        <w:txbxContent>
                          <w:p w:rsidR="00B83AC3" w:rsidRPr="00B83AC3" w:rsidRDefault="00B83AC3" w:rsidP="00B83AC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83AC3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Qualifications:</w:t>
                            </w:r>
                          </w:p>
                          <w:p w:rsidR="00F2736E" w:rsidRDefault="00F2736E" w:rsidP="00B83AC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Associate’s Degree or equivalent two year college or technical skill training.</w:t>
                            </w:r>
                          </w:p>
                          <w:p w:rsidR="00851A99" w:rsidRPr="00B83AC3" w:rsidRDefault="00F2736E" w:rsidP="00B83AC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Two years related experience or training</w:t>
                            </w:r>
                            <w:r w:rsidR="00235383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851A99" w:rsidRDefault="00F2736E" w:rsidP="00D25D4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Department of Agriculture spraying license within one year</w:t>
                            </w:r>
                            <w:r w:rsidR="00235383">
                              <w:rPr>
                                <w:sz w:val="20"/>
                                <w:szCs w:val="20"/>
                              </w:rPr>
                              <w:t>, preferred.</w:t>
                            </w:r>
                          </w:p>
                          <w:p w:rsidR="00F2736E" w:rsidRDefault="00F2736E" w:rsidP="00D25D4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Local Tree Trimming License</w:t>
                            </w:r>
                            <w:r w:rsidR="00235383">
                              <w:rPr>
                                <w:sz w:val="20"/>
                                <w:szCs w:val="20"/>
                              </w:rPr>
                              <w:t xml:space="preserve"> or arborist skills or knowledge preferred.</w:t>
                            </w:r>
                          </w:p>
                          <w:p w:rsidR="00F2736E" w:rsidRDefault="00F2736E" w:rsidP="00D25D4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Valid Oklahoma Driver’s License</w:t>
                            </w:r>
                          </w:p>
                          <w:p w:rsidR="00B83AC3" w:rsidRPr="00B83AC3" w:rsidRDefault="00B83AC3" w:rsidP="00B83AC3">
                            <w:pPr>
                              <w:pStyle w:val="ListParagrap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51A99" w:rsidRPr="00266E95" w:rsidRDefault="00851A99" w:rsidP="00B83AC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66E95">
                              <w:rPr>
                                <w:b/>
                                <w:sz w:val="24"/>
                                <w:szCs w:val="24"/>
                              </w:rPr>
                              <w:t>Salary Range: $</w:t>
                            </w:r>
                            <w:r w:rsidR="00F2736E" w:rsidRPr="00266E95">
                              <w:rPr>
                                <w:b/>
                                <w:sz w:val="24"/>
                                <w:szCs w:val="24"/>
                              </w:rPr>
                              <w:t>48,654 - $69,576</w:t>
                            </w:r>
                          </w:p>
                          <w:p w:rsidR="00AF3832" w:rsidRDefault="00AF3832" w:rsidP="00AF3832">
                            <w:pPr>
                              <w:jc w:val="center"/>
                              <w:rPr>
                                <w:rFonts w:asciiTheme="minorHAnsi" w:eastAsiaTheme="minorEastAsia" w:hAnsiTheme="minorHAnsi" w:cstheme="minorBidi"/>
                                <w:noProof/>
                                <w:sz w:val="20"/>
                                <w:szCs w:val="20"/>
                              </w:rPr>
                            </w:pPr>
                            <w:r w:rsidRPr="00AF3832">
                              <w:rPr>
                                <w:rFonts w:asciiTheme="minorHAnsi" w:eastAsiaTheme="minorEastAsia" w:hAnsiTheme="minorHAnsi" w:cstheme="minorBidi"/>
                                <w:noProof/>
                                <w:sz w:val="20"/>
                                <w:szCs w:val="20"/>
                              </w:rPr>
                              <w:t xml:space="preserve">Complete position description and application </w:t>
                            </w:r>
                          </w:p>
                          <w:p w:rsidR="00AF3832" w:rsidRDefault="00AF3832" w:rsidP="00AF3832">
                            <w:pPr>
                              <w:jc w:val="center"/>
                              <w:rPr>
                                <w:rFonts w:asciiTheme="minorHAnsi" w:eastAsiaTheme="minorEastAsia" w:hAnsiTheme="minorHAnsi" w:cstheme="minorBidi"/>
                                <w:b/>
                                <w:noProof/>
                                <w:sz w:val="20"/>
                                <w:szCs w:val="20"/>
                              </w:rPr>
                            </w:pPr>
                            <w:r w:rsidRPr="00AF3832">
                              <w:rPr>
                                <w:rFonts w:asciiTheme="minorHAnsi" w:eastAsiaTheme="minorEastAsia" w:hAnsiTheme="minorHAnsi" w:cstheme="minorBidi"/>
                                <w:noProof/>
                                <w:sz w:val="20"/>
                                <w:szCs w:val="20"/>
                              </w:rPr>
                              <w:t xml:space="preserve">can be found at  </w:t>
                            </w:r>
                            <w:hyperlink r:id="rId15" w:history="1">
                              <w:r w:rsidR="00D60C31" w:rsidRPr="008055D8">
                                <w:rPr>
                                  <w:rStyle w:val="Hyperlink"/>
                                  <w:rFonts w:asciiTheme="minorHAnsi" w:eastAsiaTheme="minorEastAsia" w:hAnsiTheme="minorHAnsi" w:cstheme="minorBidi"/>
                                  <w:b/>
                                  <w:noProof/>
                                  <w:sz w:val="20"/>
                                  <w:szCs w:val="20"/>
                                </w:rPr>
                                <w:t>www.enid.org/employment</w:t>
                              </w:r>
                            </w:hyperlink>
                            <w:r w:rsidRPr="00AF3832">
                              <w:rPr>
                                <w:rFonts w:asciiTheme="minorHAnsi" w:eastAsiaTheme="minorEastAsia" w:hAnsiTheme="minorHAnsi" w:cstheme="minorBidi"/>
                                <w:b/>
                                <w:noProof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D60C31" w:rsidRDefault="00D60C31" w:rsidP="00AF3832">
                            <w:pPr>
                              <w:jc w:val="center"/>
                              <w:rPr>
                                <w:rFonts w:asciiTheme="minorHAnsi" w:eastAsiaTheme="minorEastAsia" w:hAnsiTheme="minorHAnsi" w:cstheme="minorBidi"/>
                                <w:b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D60C31" w:rsidRPr="00AF3832" w:rsidRDefault="00D60C31" w:rsidP="00AF3832">
                            <w:pPr>
                              <w:jc w:val="center"/>
                              <w:rPr>
                                <w:rFonts w:asciiTheme="minorHAnsi" w:eastAsiaTheme="minorEastAsia" w:hAnsiTheme="minorHAnsi" w:cstheme="minorBidi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851A99" w:rsidRPr="00D60C31" w:rsidRDefault="00D60C31" w:rsidP="00D60C31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D60C31">
                              <w:rPr>
                                <w:i/>
                              </w:rPr>
                              <w:t>An Equal Opportunity Employer</w:t>
                            </w:r>
                          </w:p>
                          <w:p w:rsidR="00756317" w:rsidRDefault="00D25D4B" w:rsidP="00D25D4B"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8C3" w:rsidRPr="00D60C31" w:rsidRDefault="001558C3" w:rsidP="00266E95">
            <w:pPr>
              <w:jc w:val="both"/>
              <w:rPr>
                <w:color w:val="000000"/>
                <w:sz w:val="21"/>
                <w:szCs w:val="21"/>
              </w:rPr>
            </w:pPr>
            <w:r w:rsidRPr="00D60C31">
              <w:rPr>
                <w:color w:val="000000"/>
                <w:sz w:val="21"/>
                <w:szCs w:val="21"/>
              </w:rPr>
              <w:t>Enid</w:t>
            </w:r>
            <w:r w:rsidR="00235383" w:rsidRPr="00D60C31">
              <w:rPr>
                <w:color w:val="000000"/>
                <w:sz w:val="21"/>
                <w:szCs w:val="21"/>
              </w:rPr>
              <w:t xml:space="preserve"> is the home of Vance Air Force Base, and </w:t>
            </w:r>
            <w:r w:rsidRPr="00D60C31">
              <w:rPr>
                <w:color w:val="000000"/>
                <w:sz w:val="21"/>
                <w:szCs w:val="21"/>
              </w:rPr>
              <w:t>is the econo</w:t>
            </w:r>
            <w:r w:rsidR="0043112E" w:rsidRPr="00D60C31">
              <w:rPr>
                <w:color w:val="000000"/>
                <w:sz w:val="21"/>
                <w:szCs w:val="21"/>
              </w:rPr>
              <w:t xml:space="preserve">mic, social, </w:t>
            </w:r>
            <w:r w:rsidR="00235383" w:rsidRPr="00D60C31">
              <w:rPr>
                <w:color w:val="000000"/>
                <w:sz w:val="21"/>
                <w:szCs w:val="21"/>
              </w:rPr>
              <w:t xml:space="preserve">and </w:t>
            </w:r>
            <w:r w:rsidR="0043112E" w:rsidRPr="00D60C31">
              <w:rPr>
                <w:color w:val="000000"/>
                <w:sz w:val="21"/>
                <w:szCs w:val="21"/>
              </w:rPr>
              <w:t>medical</w:t>
            </w:r>
            <w:r w:rsidRPr="00D60C31">
              <w:rPr>
                <w:color w:val="000000"/>
                <w:sz w:val="21"/>
                <w:szCs w:val="21"/>
              </w:rPr>
              <w:t xml:space="preserve"> hub of </w:t>
            </w:r>
            <w:r w:rsidR="00235383" w:rsidRPr="00D60C31">
              <w:rPr>
                <w:color w:val="000000"/>
                <w:sz w:val="21"/>
                <w:szCs w:val="21"/>
              </w:rPr>
              <w:t>Northwest Oklahoma</w:t>
            </w:r>
            <w:r w:rsidRPr="00D60C31">
              <w:rPr>
                <w:color w:val="000000"/>
                <w:sz w:val="21"/>
                <w:szCs w:val="21"/>
              </w:rPr>
              <w:t xml:space="preserve">. </w:t>
            </w:r>
            <w:r w:rsidR="00235383" w:rsidRPr="00D60C31">
              <w:rPr>
                <w:color w:val="000000"/>
                <w:sz w:val="21"/>
                <w:szCs w:val="21"/>
              </w:rPr>
              <w:t xml:space="preserve">Enid </w:t>
            </w:r>
            <w:r w:rsidR="00235383" w:rsidRPr="00D60C31">
              <w:rPr>
                <w:sz w:val="21"/>
                <w:szCs w:val="21"/>
                <w:lang w:val="en"/>
              </w:rPr>
              <w:t>has more than 30 parks and recreation areas within the city limits</w:t>
            </w:r>
            <w:r w:rsidR="00304220">
              <w:rPr>
                <w:sz w:val="21"/>
                <w:szCs w:val="21"/>
                <w:lang w:val="en"/>
              </w:rPr>
              <w:t>, consisting of more than</w:t>
            </w:r>
            <w:r w:rsidR="00235383" w:rsidRPr="00D60C31">
              <w:rPr>
                <w:sz w:val="21"/>
                <w:szCs w:val="21"/>
                <w:lang w:val="en"/>
              </w:rPr>
              <w:t xml:space="preserve"> 400 acres </w:t>
            </w:r>
            <w:r w:rsidR="00266E95" w:rsidRPr="00D60C31">
              <w:rPr>
                <w:sz w:val="21"/>
                <w:szCs w:val="21"/>
                <w:lang w:val="en"/>
              </w:rPr>
              <w:t>of outdoor fun</w:t>
            </w:r>
            <w:r w:rsidR="00235383" w:rsidRPr="00D60C31">
              <w:rPr>
                <w:sz w:val="21"/>
                <w:szCs w:val="21"/>
                <w:lang w:val="en"/>
              </w:rPr>
              <w:t>. These areas include playing fields for bas</w:t>
            </w:r>
            <w:r w:rsidR="00266E95" w:rsidRPr="00D60C31">
              <w:rPr>
                <w:sz w:val="21"/>
                <w:szCs w:val="21"/>
                <w:lang w:val="en"/>
              </w:rPr>
              <w:t xml:space="preserve">eball, tennis, football, </w:t>
            </w:r>
            <w:r w:rsidR="00304220">
              <w:rPr>
                <w:sz w:val="21"/>
                <w:szCs w:val="21"/>
                <w:lang w:val="en"/>
              </w:rPr>
              <w:t xml:space="preserve">and </w:t>
            </w:r>
            <w:bookmarkStart w:id="0" w:name="_GoBack"/>
            <w:bookmarkEnd w:id="0"/>
            <w:r w:rsidR="00266E95" w:rsidRPr="00D60C31">
              <w:rPr>
                <w:sz w:val="21"/>
                <w:szCs w:val="21"/>
                <w:lang w:val="en"/>
              </w:rPr>
              <w:t>soccer;</w:t>
            </w:r>
            <w:r w:rsidR="00235383" w:rsidRPr="00D60C31">
              <w:rPr>
                <w:sz w:val="21"/>
                <w:szCs w:val="21"/>
                <w:lang w:val="en"/>
              </w:rPr>
              <w:t xml:space="preserve"> </w:t>
            </w:r>
            <w:r w:rsidR="00304220">
              <w:rPr>
                <w:sz w:val="21"/>
                <w:szCs w:val="21"/>
                <w:lang w:val="en"/>
              </w:rPr>
              <w:t>two dog parks</w:t>
            </w:r>
            <w:r w:rsidR="00266E95" w:rsidRPr="00D60C31">
              <w:rPr>
                <w:sz w:val="21"/>
                <w:szCs w:val="21"/>
                <w:lang w:val="en"/>
              </w:rPr>
              <w:t>;</w:t>
            </w:r>
            <w:r w:rsidR="00235383" w:rsidRPr="00D60C31">
              <w:rPr>
                <w:sz w:val="21"/>
                <w:szCs w:val="21"/>
                <w:lang w:val="en"/>
              </w:rPr>
              <w:t xml:space="preserve"> a </w:t>
            </w:r>
            <w:r w:rsidR="00235383" w:rsidRPr="00D60C31">
              <w:rPr>
                <w:sz w:val="21"/>
                <w:szCs w:val="21"/>
                <w:lang w:val="en"/>
              </w:rPr>
              <w:t xml:space="preserve">municipal </w:t>
            </w:r>
            <w:r w:rsidR="00235383" w:rsidRPr="00D60C31">
              <w:rPr>
                <w:sz w:val="21"/>
                <w:szCs w:val="21"/>
                <w:lang w:val="en"/>
              </w:rPr>
              <w:t>swimming pool</w:t>
            </w:r>
            <w:r w:rsidR="00266E95" w:rsidRPr="00D60C31">
              <w:rPr>
                <w:sz w:val="21"/>
                <w:szCs w:val="21"/>
                <w:lang w:val="en"/>
              </w:rPr>
              <w:t>;</w:t>
            </w:r>
            <w:r w:rsidR="00235383" w:rsidRPr="00D60C31">
              <w:rPr>
                <w:sz w:val="21"/>
                <w:szCs w:val="21"/>
                <w:lang w:val="en"/>
              </w:rPr>
              <w:t xml:space="preserve"> </w:t>
            </w:r>
            <w:r w:rsidR="00235383" w:rsidRPr="00D60C31">
              <w:rPr>
                <w:sz w:val="21"/>
                <w:szCs w:val="21"/>
                <w:lang w:val="en"/>
              </w:rPr>
              <w:t xml:space="preserve">two </w:t>
            </w:r>
            <w:r w:rsidR="00235383" w:rsidRPr="00D60C31">
              <w:rPr>
                <w:sz w:val="21"/>
                <w:szCs w:val="21"/>
                <w:lang w:val="en"/>
              </w:rPr>
              <w:t xml:space="preserve">splash pads and </w:t>
            </w:r>
            <w:proofErr w:type="gramStart"/>
            <w:r w:rsidR="00266E95" w:rsidRPr="00D60C31">
              <w:rPr>
                <w:sz w:val="21"/>
                <w:szCs w:val="21"/>
                <w:lang w:val="en"/>
              </w:rPr>
              <w:t xml:space="preserve">expansive </w:t>
            </w:r>
            <w:r w:rsidR="00235383" w:rsidRPr="00D60C31">
              <w:rPr>
                <w:sz w:val="21"/>
                <w:szCs w:val="21"/>
                <w:lang w:val="en"/>
              </w:rPr>
              <w:t xml:space="preserve"> </w:t>
            </w:r>
            <w:r w:rsidR="00266E95" w:rsidRPr="00D60C31">
              <w:rPr>
                <w:sz w:val="21"/>
                <w:szCs w:val="21"/>
                <w:lang w:val="en"/>
              </w:rPr>
              <w:t>walking</w:t>
            </w:r>
            <w:proofErr w:type="gramEnd"/>
            <w:r w:rsidR="00266E95" w:rsidRPr="00D60C31">
              <w:rPr>
                <w:sz w:val="21"/>
                <w:szCs w:val="21"/>
                <w:lang w:val="en"/>
              </w:rPr>
              <w:t xml:space="preserve"> trails</w:t>
            </w:r>
            <w:r w:rsidR="00235383" w:rsidRPr="00D60C31">
              <w:rPr>
                <w:sz w:val="21"/>
                <w:szCs w:val="21"/>
                <w:lang w:val="en"/>
              </w:rPr>
              <w:t>.</w:t>
            </w:r>
            <w:r w:rsidR="00235383" w:rsidRPr="00D60C31">
              <w:rPr>
                <w:sz w:val="21"/>
                <w:szCs w:val="21"/>
                <w:lang w:val="en"/>
              </w:rPr>
              <w:t xml:space="preserve">  Eni</w:t>
            </w:r>
            <w:r w:rsidR="00266E95" w:rsidRPr="00D60C31">
              <w:rPr>
                <w:sz w:val="21"/>
                <w:szCs w:val="21"/>
                <w:lang w:val="en"/>
              </w:rPr>
              <w:t xml:space="preserve">d is currently working with community groups to assist in the development of a six million dollar soccer complex.  </w:t>
            </w:r>
          </w:p>
          <w:p w:rsidR="001558C3" w:rsidRPr="00D60C31" w:rsidRDefault="001558C3">
            <w:pPr>
              <w:rPr>
                <w:color w:val="000000"/>
                <w:sz w:val="21"/>
                <w:szCs w:val="21"/>
              </w:rPr>
            </w:pPr>
          </w:p>
          <w:p w:rsidR="007C1034" w:rsidRPr="00D60C31" w:rsidRDefault="0043112E" w:rsidP="00266E95">
            <w:pPr>
              <w:jc w:val="both"/>
              <w:rPr>
                <w:rFonts w:asciiTheme="minorHAnsi" w:eastAsiaTheme="minorEastAsia" w:hAnsiTheme="minorHAnsi" w:cstheme="minorBidi"/>
                <w:noProof/>
                <w:sz w:val="21"/>
                <w:szCs w:val="21"/>
              </w:rPr>
            </w:pPr>
            <w:r w:rsidRPr="00D60C31">
              <w:rPr>
                <w:rFonts w:asciiTheme="minorHAnsi" w:eastAsiaTheme="minorEastAsia" w:hAnsiTheme="minorHAnsi" w:cstheme="minorBidi"/>
                <w:noProof/>
                <w:sz w:val="21"/>
                <w:szCs w:val="21"/>
              </w:rPr>
              <w:t xml:space="preserve">The City of Enid </w:t>
            </w:r>
            <w:r w:rsidR="00266E95" w:rsidRPr="00D60C31">
              <w:rPr>
                <w:rFonts w:asciiTheme="minorHAnsi" w:eastAsiaTheme="minorEastAsia" w:hAnsiTheme="minorHAnsi" w:cstheme="minorBidi"/>
                <w:noProof/>
                <w:sz w:val="21"/>
                <w:szCs w:val="21"/>
              </w:rPr>
              <w:t>seeks</w:t>
            </w:r>
            <w:r w:rsidR="00B22785" w:rsidRPr="00D60C31">
              <w:rPr>
                <w:rFonts w:asciiTheme="minorHAnsi" w:eastAsiaTheme="minorEastAsia" w:hAnsiTheme="minorHAnsi" w:cstheme="minorBidi"/>
                <w:noProof/>
                <w:sz w:val="21"/>
                <w:szCs w:val="21"/>
              </w:rPr>
              <w:t xml:space="preserve"> a </w:t>
            </w:r>
            <w:r w:rsidR="00370174" w:rsidRPr="00D60C31">
              <w:rPr>
                <w:rFonts w:asciiTheme="minorHAnsi" w:eastAsiaTheme="minorEastAsia" w:hAnsiTheme="minorHAnsi" w:cstheme="minorBidi"/>
                <w:noProof/>
                <w:sz w:val="21"/>
                <w:szCs w:val="21"/>
              </w:rPr>
              <w:t xml:space="preserve">professional </w:t>
            </w:r>
            <w:r w:rsidR="008025ED" w:rsidRPr="00D60C31">
              <w:rPr>
                <w:rFonts w:asciiTheme="minorHAnsi" w:eastAsiaTheme="minorEastAsia" w:hAnsiTheme="minorHAnsi" w:cstheme="minorBidi"/>
                <w:noProof/>
                <w:sz w:val="21"/>
                <w:szCs w:val="21"/>
              </w:rPr>
              <w:t>leader who has produced verifiable results in the field of Parks and Recreation</w:t>
            </w:r>
            <w:r w:rsidR="00370174" w:rsidRPr="00D60C31">
              <w:rPr>
                <w:rFonts w:asciiTheme="minorHAnsi" w:eastAsiaTheme="minorEastAsia" w:hAnsiTheme="minorHAnsi" w:cstheme="minorBidi"/>
                <w:noProof/>
                <w:sz w:val="21"/>
                <w:szCs w:val="21"/>
              </w:rPr>
              <w:t xml:space="preserve">.  </w:t>
            </w:r>
            <w:r w:rsidR="00235383" w:rsidRPr="00D60C31">
              <w:rPr>
                <w:rFonts w:asciiTheme="minorHAnsi" w:eastAsiaTheme="minorEastAsia" w:hAnsiTheme="minorHAnsi" w:cstheme="minorBidi"/>
                <w:noProof/>
                <w:sz w:val="21"/>
                <w:szCs w:val="21"/>
              </w:rPr>
              <w:t>The successful applicant must be able to de</w:t>
            </w:r>
            <w:r w:rsidR="00266E95" w:rsidRPr="00D60C31">
              <w:rPr>
                <w:rFonts w:asciiTheme="minorHAnsi" w:eastAsiaTheme="minorEastAsia" w:hAnsiTheme="minorHAnsi" w:cstheme="minorBidi"/>
                <w:noProof/>
                <w:sz w:val="21"/>
                <w:szCs w:val="21"/>
              </w:rPr>
              <w:t>monstrate good judgment and</w:t>
            </w:r>
            <w:r w:rsidR="00235383" w:rsidRPr="00D60C31">
              <w:rPr>
                <w:rFonts w:asciiTheme="minorHAnsi" w:eastAsiaTheme="minorEastAsia" w:hAnsiTheme="minorHAnsi" w:cstheme="minorBidi"/>
                <w:noProof/>
                <w:sz w:val="21"/>
                <w:szCs w:val="21"/>
              </w:rPr>
              <w:t xml:space="preserve"> interpersonal skills both with employees and members of the public.  </w:t>
            </w:r>
            <w:r w:rsidRPr="00D60C31">
              <w:rPr>
                <w:rFonts w:asciiTheme="minorHAnsi" w:eastAsiaTheme="minorEastAsia" w:hAnsiTheme="minorHAnsi" w:cstheme="minorBidi"/>
                <w:noProof/>
                <w:sz w:val="21"/>
                <w:szCs w:val="21"/>
              </w:rPr>
              <w:t xml:space="preserve">This position </w:t>
            </w:r>
            <w:r w:rsidR="00370174" w:rsidRPr="00D60C31">
              <w:rPr>
                <w:rFonts w:asciiTheme="minorHAnsi" w:eastAsiaTheme="minorEastAsia" w:hAnsiTheme="minorHAnsi" w:cstheme="minorBidi"/>
                <w:noProof/>
                <w:sz w:val="21"/>
                <w:szCs w:val="21"/>
              </w:rPr>
              <w:t>offers a full benefit package, including health, vision and dental insurance eligiblity upon date of hire; and opportunity for 401(k) match</w:t>
            </w:r>
            <w:r w:rsidR="00F2736E" w:rsidRPr="00D60C31">
              <w:rPr>
                <w:rFonts w:asciiTheme="minorHAnsi" w:eastAsiaTheme="minorEastAsia" w:hAnsiTheme="minorHAnsi" w:cstheme="minorBidi"/>
                <w:noProof/>
                <w:sz w:val="21"/>
                <w:szCs w:val="21"/>
              </w:rPr>
              <w:t xml:space="preserve"> and</w:t>
            </w:r>
            <w:r w:rsidR="00370174" w:rsidRPr="00D60C31">
              <w:rPr>
                <w:rFonts w:asciiTheme="minorHAnsi" w:eastAsiaTheme="minorEastAsia" w:hAnsiTheme="minorHAnsi" w:cstheme="minorBidi"/>
                <w:noProof/>
                <w:sz w:val="21"/>
                <w:szCs w:val="21"/>
              </w:rPr>
              <w:t xml:space="preserve"> a defined ben</w:t>
            </w:r>
            <w:r w:rsidR="00266E95" w:rsidRPr="00D60C31">
              <w:rPr>
                <w:rFonts w:asciiTheme="minorHAnsi" w:eastAsiaTheme="minorEastAsia" w:hAnsiTheme="minorHAnsi" w:cstheme="minorBidi"/>
                <w:noProof/>
                <w:sz w:val="21"/>
                <w:szCs w:val="21"/>
              </w:rPr>
              <w:t>e</w:t>
            </w:r>
            <w:r w:rsidR="00370174" w:rsidRPr="00D60C31">
              <w:rPr>
                <w:rFonts w:asciiTheme="minorHAnsi" w:eastAsiaTheme="minorEastAsia" w:hAnsiTheme="minorHAnsi" w:cstheme="minorBidi"/>
                <w:noProof/>
                <w:sz w:val="21"/>
                <w:szCs w:val="21"/>
              </w:rPr>
              <w:t xml:space="preserve">fit program.  </w:t>
            </w:r>
          </w:p>
          <w:p w:rsidR="001558C3" w:rsidRPr="00266E95" w:rsidRDefault="001558C3" w:rsidP="00AF383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58C3" w:rsidRDefault="001558C3"/>
        </w:tc>
      </w:tr>
      <w:tr w:rsidR="00266E95" w:rsidTr="00D60C31">
        <w:trPr>
          <w:trHeight w:val="112"/>
          <w:jc w:val="center"/>
        </w:trPr>
        <w:tc>
          <w:tcPr>
            <w:tcW w:w="0" w:type="auto"/>
            <w:vMerge/>
            <w:vAlign w:val="center"/>
            <w:hideMark/>
          </w:tcPr>
          <w:p w:rsidR="001558C3" w:rsidRDefault="001558C3"/>
        </w:tc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8C3" w:rsidRDefault="001558C3" w:rsidP="00266E95"/>
        </w:tc>
        <w:tc>
          <w:tcPr>
            <w:tcW w:w="0" w:type="auto"/>
            <w:vMerge/>
            <w:vAlign w:val="center"/>
            <w:hideMark/>
          </w:tcPr>
          <w:p w:rsidR="001558C3" w:rsidRDefault="001558C3"/>
        </w:tc>
      </w:tr>
      <w:tr w:rsidR="001558C3" w:rsidTr="00D60C31">
        <w:trPr>
          <w:trHeight w:val="112"/>
          <w:jc w:val="center"/>
        </w:trPr>
        <w:tc>
          <w:tcPr>
            <w:tcW w:w="0" w:type="auto"/>
            <w:vMerge/>
            <w:vAlign w:val="center"/>
            <w:hideMark/>
          </w:tcPr>
          <w:p w:rsidR="001558C3" w:rsidRDefault="001558C3"/>
        </w:tc>
        <w:tc>
          <w:tcPr>
            <w:tcW w:w="0" w:type="auto"/>
            <w:gridSpan w:val="3"/>
            <w:shd w:val="clear" w:color="auto" w:fill="00529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8C3" w:rsidRDefault="001558C3"/>
        </w:tc>
      </w:tr>
    </w:tbl>
    <w:p w:rsidR="00787134" w:rsidRPr="00343C4B" w:rsidRDefault="00787134" w:rsidP="0064702A">
      <w:pPr>
        <w:tabs>
          <w:tab w:val="left" w:pos="4980"/>
        </w:tabs>
      </w:pPr>
    </w:p>
    <w:sectPr w:rsidR="00787134" w:rsidRPr="00343C4B" w:rsidSect="00266E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C31" w:rsidRDefault="00D60C31" w:rsidP="00D60C31">
      <w:r>
        <w:separator/>
      </w:r>
    </w:p>
  </w:endnote>
  <w:endnote w:type="continuationSeparator" w:id="0">
    <w:p w:rsidR="00D60C31" w:rsidRDefault="00D60C31" w:rsidP="00D60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C31" w:rsidRDefault="00D60C31" w:rsidP="00D60C31">
      <w:r>
        <w:separator/>
      </w:r>
    </w:p>
  </w:footnote>
  <w:footnote w:type="continuationSeparator" w:id="0">
    <w:p w:rsidR="00D60C31" w:rsidRDefault="00D60C31" w:rsidP="00D60C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D21E0"/>
    <w:multiLevelType w:val="hybridMultilevel"/>
    <w:tmpl w:val="AAB46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B337F5"/>
    <w:multiLevelType w:val="hybridMultilevel"/>
    <w:tmpl w:val="28B8807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8C3"/>
    <w:rsid w:val="00007588"/>
    <w:rsid w:val="000B203A"/>
    <w:rsid w:val="00135536"/>
    <w:rsid w:val="001558C3"/>
    <w:rsid w:val="002223A6"/>
    <w:rsid w:val="00235383"/>
    <w:rsid w:val="00266E95"/>
    <w:rsid w:val="0028309D"/>
    <w:rsid w:val="00304220"/>
    <w:rsid w:val="00343C4B"/>
    <w:rsid w:val="00370174"/>
    <w:rsid w:val="0043112E"/>
    <w:rsid w:val="00450A45"/>
    <w:rsid w:val="004618DE"/>
    <w:rsid w:val="005E5958"/>
    <w:rsid w:val="0064702A"/>
    <w:rsid w:val="006E4EA5"/>
    <w:rsid w:val="00756317"/>
    <w:rsid w:val="00787134"/>
    <w:rsid w:val="007C1034"/>
    <w:rsid w:val="008025ED"/>
    <w:rsid w:val="00851A99"/>
    <w:rsid w:val="008A05FA"/>
    <w:rsid w:val="009430E4"/>
    <w:rsid w:val="00AF3832"/>
    <w:rsid w:val="00B22785"/>
    <w:rsid w:val="00B73DCF"/>
    <w:rsid w:val="00B821B9"/>
    <w:rsid w:val="00B83AC3"/>
    <w:rsid w:val="00CA5B1B"/>
    <w:rsid w:val="00D25D4B"/>
    <w:rsid w:val="00D60C31"/>
    <w:rsid w:val="00DA40CC"/>
    <w:rsid w:val="00E54C37"/>
    <w:rsid w:val="00E859DF"/>
    <w:rsid w:val="00F2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8C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58C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8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8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63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0C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0C31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60C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0C31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8C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58C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8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8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63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0C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0C31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60C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0C31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3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cid:image003.jpg@01D07DBD.D447CA7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cid:image002.jpg@01D07DBD.D447CA7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enid.org/employment" TargetMode="Externa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enid.org/employ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B6DB8-75CE-4895-992D-F599C63AB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Enid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Derrick G. Silas, Sr.</dc:creator>
  <cp:lastModifiedBy>Sonya Key</cp:lastModifiedBy>
  <cp:revision>4</cp:revision>
  <cp:lastPrinted>2018-06-20T19:14:00Z</cp:lastPrinted>
  <dcterms:created xsi:type="dcterms:W3CDTF">2018-06-14T23:49:00Z</dcterms:created>
  <dcterms:modified xsi:type="dcterms:W3CDTF">2018-06-20T19:19:00Z</dcterms:modified>
</cp:coreProperties>
</file>